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9F" w:rsidRDefault="00305E9F" w:rsidP="00305E9F">
      <w:pPr>
        <w:spacing w:line="360" w:lineRule="auto"/>
        <w:rPr>
          <w:rFonts w:cs="David"/>
          <w:szCs w:val="24"/>
          <w:rtl/>
        </w:rPr>
      </w:pPr>
      <w:r>
        <w:rPr>
          <w:rFonts w:cs="David" w:hint="cs"/>
          <w:i/>
          <w:iCs/>
          <w:sz w:val="24"/>
          <w:szCs w:val="24"/>
          <w:u w:val="single"/>
          <w:rtl/>
        </w:rPr>
        <w:t>פרסומים בספרות המקצועית</w:t>
      </w:r>
      <w:r>
        <w:rPr>
          <w:rFonts w:cs="David" w:hint="cs"/>
          <w:i/>
          <w:iCs/>
          <w:sz w:val="24"/>
          <w:szCs w:val="24"/>
          <w:rtl/>
        </w:rPr>
        <w:t>:</w:t>
      </w:r>
    </w:p>
    <w:p w:rsidR="00305E9F" w:rsidRPr="00D206B0" w:rsidRDefault="00305E9F" w:rsidP="00305E9F">
      <w:pPr>
        <w:jc w:val="both"/>
        <w:rPr>
          <w:rFonts w:cs="Times New Roman"/>
          <w:sz w:val="24"/>
          <w:szCs w:val="24"/>
          <w:rtl/>
        </w:rPr>
      </w:pPr>
    </w:p>
    <w:p w:rsidR="00305E9F" w:rsidRPr="00D206B0" w:rsidRDefault="00305E9F" w:rsidP="00305E9F">
      <w:pPr>
        <w:jc w:val="both"/>
        <w:rPr>
          <w:rFonts w:cs="Times New Roman"/>
          <w:sz w:val="24"/>
          <w:szCs w:val="24"/>
          <w:rtl/>
        </w:rPr>
      </w:pPr>
    </w:p>
    <w:p w:rsidR="00305E9F" w:rsidRPr="00D206B0" w:rsidRDefault="00305E9F" w:rsidP="00305E9F">
      <w:pPr>
        <w:jc w:val="both"/>
        <w:rPr>
          <w:rFonts w:cs="Times New Roman"/>
          <w:sz w:val="24"/>
          <w:szCs w:val="24"/>
          <w:rtl/>
        </w:rPr>
      </w:pPr>
    </w:p>
    <w:p w:rsidR="00305E9F" w:rsidRPr="00D206B0" w:rsidRDefault="00305E9F" w:rsidP="00305E9F">
      <w:pPr>
        <w:numPr>
          <w:ilvl w:val="0"/>
          <w:numId w:val="1"/>
        </w:numPr>
        <w:bidi w:val="0"/>
        <w:rPr>
          <w:rFonts w:ascii="Calibri" w:hAnsi="Calibri" w:cs="Arial"/>
          <w:sz w:val="24"/>
          <w:szCs w:val="24"/>
        </w:rPr>
      </w:pPr>
      <w:hyperlink r:id="rId6" w:anchor="#" w:tooltip="Harefuah." w:history="1">
        <w:r w:rsidRPr="00D206B0">
          <w:rPr>
            <w:rFonts w:ascii="Arial" w:hAnsi="Arial" w:cs="Arial"/>
            <w:color w:val="2F4A8B"/>
            <w:u w:val="single"/>
          </w:rPr>
          <w:t>Harefuah.</w:t>
        </w:r>
      </w:hyperlink>
      <w:r w:rsidRPr="00D206B0">
        <w:rPr>
          <w:rFonts w:ascii="Arial" w:hAnsi="Arial" w:cs="Arial"/>
        </w:rPr>
        <w:t xml:space="preserve"> 2011 Oct;150(10):765-8, 816, 815.</w:t>
      </w:r>
    </w:p>
    <w:p w:rsidR="00305E9F" w:rsidRPr="00D206B0" w:rsidRDefault="00305E9F" w:rsidP="00305E9F">
      <w:pPr>
        <w:bidi w:val="0"/>
        <w:spacing w:before="240" w:after="120"/>
        <w:outlineLvl w:val="0"/>
        <w:rPr>
          <w:rFonts w:ascii="Calibri" w:hAnsi="Calibri" w:cs="Times New Roman"/>
          <w:b/>
          <w:color w:val="000000"/>
          <w:kern w:val="36"/>
          <w:sz w:val="24"/>
          <w:szCs w:val="24"/>
        </w:rPr>
      </w:pPr>
      <w:r w:rsidRPr="00D206B0">
        <w:rPr>
          <w:rFonts w:ascii="Calibri" w:hAnsi="Calibri" w:cs="Times New Roman"/>
          <w:b/>
          <w:color w:val="000000"/>
          <w:kern w:val="36"/>
          <w:sz w:val="24"/>
          <w:szCs w:val="24"/>
        </w:rPr>
        <w:t>[Laparoscopic sleeve gastrectomy (LSG) in adolescents with morbid obesity].</w:t>
      </w:r>
    </w:p>
    <w:p w:rsidR="00305E9F" w:rsidRPr="00D206B0" w:rsidRDefault="00305E9F" w:rsidP="00305E9F">
      <w:pPr>
        <w:numPr>
          <w:ilvl w:val="0"/>
          <w:numId w:val="1"/>
        </w:numPr>
        <w:bidi w:val="0"/>
        <w:rPr>
          <w:rFonts w:ascii="Calibri" w:hAnsi="Calibri" w:cs="Times New Roman"/>
          <w:sz w:val="24"/>
          <w:szCs w:val="24"/>
          <w:lang w:val="pt-BR"/>
        </w:rPr>
      </w:pPr>
      <w:hyperlink r:id="rId7" w:anchor="#" w:tooltip="Journal of pediatric gastroenterology and nutrition." w:history="1">
        <w:r w:rsidRPr="00D206B0">
          <w:rPr>
            <w:rFonts w:ascii="Calibri" w:hAnsi="Calibri" w:cs="Times New Roman"/>
            <w:color w:val="0000FF"/>
            <w:sz w:val="24"/>
            <w:szCs w:val="24"/>
            <w:u w:val="single"/>
            <w:lang w:val="pt-BR"/>
          </w:rPr>
          <w:t>J Pediatr Gastroenterol Nutr.</w:t>
        </w:r>
      </w:hyperlink>
      <w:r w:rsidRPr="00D206B0">
        <w:rPr>
          <w:rFonts w:ascii="Calibri" w:hAnsi="Calibri" w:cs="Times New Roman"/>
          <w:sz w:val="24"/>
          <w:szCs w:val="24"/>
          <w:lang w:val="pt-BR"/>
        </w:rPr>
        <w:t xml:space="preserve"> 2011 May;52(5):563-8. doi: 10.1097/MPG.0b013e3181ff72d2.</w:t>
      </w:r>
    </w:p>
    <w:p w:rsidR="00305E9F" w:rsidRPr="00D206B0" w:rsidRDefault="00305E9F" w:rsidP="00305E9F">
      <w:pPr>
        <w:bidi w:val="0"/>
        <w:spacing w:before="240" w:after="120"/>
        <w:outlineLvl w:val="0"/>
        <w:rPr>
          <w:rFonts w:ascii="Calibri" w:hAnsi="Calibri" w:cs="Times New Roman"/>
          <w:b/>
          <w:color w:val="000000"/>
          <w:kern w:val="36"/>
          <w:sz w:val="24"/>
          <w:szCs w:val="24"/>
        </w:rPr>
      </w:pPr>
      <w:r w:rsidRPr="00D206B0">
        <w:rPr>
          <w:rFonts w:ascii="Calibri" w:hAnsi="Calibri" w:cs="Times New Roman"/>
          <w:b/>
          <w:color w:val="000000"/>
          <w:kern w:val="36"/>
          <w:sz w:val="24"/>
          <w:szCs w:val="24"/>
        </w:rPr>
        <w:t>Screening criteria for diagnosis of infantile feeding disorders as a cause of poor feeding or food refusal.</w:t>
      </w:r>
    </w:p>
    <w:p w:rsidR="00305E9F" w:rsidRPr="00D206B0" w:rsidRDefault="00305E9F" w:rsidP="00305E9F">
      <w:pPr>
        <w:numPr>
          <w:ilvl w:val="0"/>
          <w:numId w:val="1"/>
        </w:numPr>
        <w:bidi w:val="0"/>
        <w:rPr>
          <w:rFonts w:ascii="Calibri" w:hAnsi="Calibri" w:cs="Times New Roman"/>
          <w:sz w:val="24"/>
          <w:szCs w:val="24"/>
          <w:lang w:val="pt-BR"/>
        </w:rPr>
      </w:pPr>
      <w:hyperlink r:id="rId8" w:anchor="#" w:tooltip="Journal of pediatric gastroenterology and nutrition." w:history="1">
        <w:r w:rsidRPr="00D206B0">
          <w:rPr>
            <w:rFonts w:ascii="Calibri" w:hAnsi="Calibri" w:cs="Times New Roman"/>
            <w:color w:val="0000FF"/>
            <w:sz w:val="24"/>
            <w:szCs w:val="24"/>
            <w:u w:val="single"/>
            <w:lang w:val="pt-BR"/>
          </w:rPr>
          <w:t>J Pediatr Gastroenterol Nutr.</w:t>
        </w:r>
      </w:hyperlink>
      <w:r w:rsidRPr="00D206B0">
        <w:rPr>
          <w:rFonts w:ascii="Calibri" w:hAnsi="Calibri" w:cs="Times New Roman"/>
          <w:sz w:val="24"/>
          <w:szCs w:val="24"/>
          <w:lang w:val="pt-BR"/>
        </w:rPr>
        <w:t xml:space="preserve"> 2009 Mar;48(3):355-62.</w:t>
      </w:r>
    </w:p>
    <w:p w:rsidR="00305E9F" w:rsidRPr="00D206B0" w:rsidRDefault="00305E9F" w:rsidP="00305E9F">
      <w:pPr>
        <w:bidi w:val="0"/>
        <w:spacing w:before="240" w:after="120"/>
        <w:outlineLvl w:val="0"/>
        <w:rPr>
          <w:rFonts w:ascii="Calibri" w:hAnsi="Calibri" w:cs="Times New Roman"/>
          <w:b/>
          <w:color w:val="000000"/>
          <w:kern w:val="36"/>
          <w:sz w:val="24"/>
          <w:szCs w:val="24"/>
        </w:rPr>
      </w:pPr>
      <w:r w:rsidRPr="00D206B0">
        <w:rPr>
          <w:rFonts w:ascii="Calibri" w:hAnsi="Calibri" w:cs="Times New Roman"/>
          <w:b/>
          <w:color w:val="000000"/>
          <w:kern w:val="36"/>
          <w:sz w:val="24"/>
          <w:szCs w:val="24"/>
        </w:rPr>
        <w:t>Diagnostic clues for identification of nonorganic vs organic causes of food refusal and poor feeding.</w:t>
      </w:r>
    </w:p>
    <w:p w:rsidR="00305E9F" w:rsidRPr="00D206B0" w:rsidRDefault="00305E9F" w:rsidP="00305E9F">
      <w:pPr>
        <w:numPr>
          <w:ilvl w:val="0"/>
          <w:numId w:val="1"/>
        </w:numPr>
        <w:bidi w:val="0"/>
        <w:rPr>
          <w:rFonts w:ascii="Calibri" w:hAnsi="Calibri" w:cs="Times New Roman"/>
          <w:sz w:val="24"/>
          <w:szCs w:val="24"/>
        </w:rPr>
      </w:pPr>
      <w:hyperlink r:id="rId9" w:anchor="#" w:tooltip="Journal of child neurology." w:history="1">
        <w:r w:rsidRPr="00D206B0">
          <w:rPr>
            <w:rFonts w:ascii="Calibri" w:hAnsi="Calibri" w:cs="Times New Roman"/>
            <w:color w:val="0000FF"/>
            <w:sz w:val="24"/>
            <w:szCs w:val="24"/>
            <w:u w:val="single"/>
          </w:rPr>
          <w:t>J Child Neurol.</w:t>
        </w:r>
      </w:hyperlink>
      <w:r w:rsidRPr="00D206B0">
        <w:rPr>
          <w:rFonts w:ascii="Calibri" w:hAnsi="Calibri" w:cs="Times New Roman"/>
          <w:sz w:val="24"/>
          <w:szCs w:val="24"/>
        </w:rPr>
        <w:t xml:space="preserve"> 2006 Feb;21(2):167-70.</w:t>
      </w:r>
    </w:p>
    <w:p w:rsidR="00305E9F" w:rsidRPr="00D206B0" w:rsidRDefault="00305E9F" w:rsidP="00305E9F">
      <w:pPr>
        <w:bidi w:val="0"/>
        <w:spacing w:before="240" w:after="120"/>
        <w:outlineLvl w:val="0"/>
        <w:rPr>
          <w:rFonts w:ascii="Calibri" w:hAnsi="Calibri" w:cs="Times New Roman"/>
          <w:b/>
          <w:color w:val="000000"/>
          <w:kern w:val="36"/>
          <w:sz w:val="24"/>
          <w:szCs w:val="24"/>
        </w:rPr>
      </w:pPr>
      <w:r w:rsidRPr="00D206B0">
        <w:rPr>
          <w:rFonts w:ascii="Calibri" w:hAnsi="Calibri" w:cs="Times New Roman"/>
          <w:b/>
          <w:color w:val="000000"/>
          <w:kern w:val="36"/>
          <w:sz w:val="24"/>
          <w:szCs w:val="24"/>
        </w:rPr>
        <w:t>Fat intolerance in developmentally impaired children with severe feeding intolerance.</w:t>
      </w:r>
    </w:p>
    <w:p w:rsidR="00305E9F" w:rsidRPr="00D206B0" w:rsidRDefault="00305E9F" w:rsidP="00305E9F">
      <w:pPr>
        <w:numPr>
          <w:ilvl w:val="0"/>
          <w:numId w:val="1"/>
        </w:numPr>
        <w:bidi w:val="0"/>
        <w:rPr>
          <w:rFonts w:ascii="Calibri" w:hAnsi="Calibri" w:cs="Times New Roman"/>
          <w:sz w:val="24"/>
          <w:szCs w:val="24"/>
        </w:rPr>
      </w:pPr>
      <w:hyperlink r:id="rId10" w:anchor="#" w:tooltip="Harefuah." w:history="1">
        <w:r w:rsidRPr="00D206B0">
          <w:rPr>
            <w:rFonts w:ascii="Calibri" w:hAnsi="Calibri" w:cs="Times New Roman"/>
            <w:color w:val="0000FF"/>
            <w:sz w:val="24"/>
            <w:szCs w:val="24"/>
            <w:u w:val="single"/>
          </w:rPr>
          <w:t>Harefuah.</w:t>
        </w:r>
      </w:hyperlink>
      <w:r w:rsidRPr="00D206B0">
        <w:rPr>
          <w:rFonts w:ascii="Calibri" w:hAnsi="Calibri" w:cs="Times New Roman"/>
          <w:sz w:val="24"/>
          <w:szCs w:val="24"/>
        </w:rPr>
        <w:t xml:space="preserve"> 2004 Mar;143(3):177-81, 248, 247.</w:t>
      </w:r>
    </w:p>
    <w:p w:rsidR="00305E9F" w:rsidRPr="00D206B0" w:rsidRDefault="00305E9F" w:rsidP="00305E9F">
      <w:pPr>
        <w:bidi w:val="0"/>
        <w:spacing w:before="240" w:after="120"/>
        <w:outlineLvl w:val="0"/>
        <w:rPr>
          <w:rFonts w:ascii="Calibri" w:hAnsi="Calibri" w:cs="Times New Roman"/>
          <w:b/>
          <w:color w:val="000000"/>
          <w:kern w:val="36"/>
          <w:sz w:val="24"/>
          <w:szCs w:val="24"/>
        </w:rPr>
      </w:pPr>
      <w:r w:rsidRPr="00D206B0">
        <w:rPr>
          <w:rFonts w:ascii="Calibri" w:hAnsi="Calibri" w:cs="Times New Roman"/>
          <w:b/>
          <w:color w:val="000000"/>
          <w:kern w:val="36"/>
          <w:sz w:val="24"/>
          <w:szCs w:val="24"/>
        </w:rPr>
        <w:t>[Ketogenic diet as antiepileptic therapy: a description of the clinical experience and the multidisciplinary approach at the metabolic-neurogenetic clinic at the Wolfson Medical Center].</w:t>
      </w:r>
    </w:p>
    <w:p w:rsidR="00305E9F" w:rsidRPr="00D206B0" w:rsidRDefault="00305E9F" w:rsidP="00305E9F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 w:hint="cs"/>
          <w:sz w:val="24"/>
          <w:szCs w:val="24"/>
          <w:rtl/>
        </w:rPr>
        <w:t>הצגת פוסטר בכנס מחלות מטאבוליות בלונדון</w:t>
      </w:r>
      <w:r w:rsidRPr="00D206B0">
        <w:rPr>
          <w:rFonts w:ascii="Calibri" w:hAnsi="Calibri" w:cs="Times New Roman"/>
          <w:sz w:val="24"/>
          <w:szCs w:val="24"/>
          <w:rtl/>
        </w:rPr>
        <w:t xml:space="preserve">- תיאור מקרה על ילד עם מחלת </w:t>
      </w:r>
      <w:r w:rsidRPr="00D206B0">
        <w:rPr>
          <w:rFonts w:ascii="Calibri" w:hAnsi="Calibri" w:cs="Times New Roman"/>
          <w:sz w:val="24"/>
          <w:szCs w:val="24"/>
        </w:rPr>
        <w:t>MSUD</w:t>
      </w:r>
      <w:r w:rsidRPr="00D206B0">
        <w:rPr>
          <w:rFonts w:ascii="Calibri" w:hAnsi="Calibri" w:cs="Times New Roman"/>
          <w:sz w:val="24"/>
          <w:szCs w:val="24"/>
          <w:rtl/>
        </w:rPr>
        <w:t xml:space="preserve"> והצלחת הטיפול הרפואי  התזונתי בו. </w:t>
      </w:r>
    </w:p>
    <w:p w:rsidR="0090533B" w:rsidRDefault="0090533B">
      <w:bookmarkStart w:id="0" w:name="_GoBack"/>
      <w:bookmarkEnd w:id="0"/>
    </w:p>
    <w:sectPr w:rsidR="0090533B" w:rsidSect="005628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7EC3"/>
    <w:multiLevelType w:val="hybridMultilevel"/>
    <w:tmpl w:val="B6F8C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79"/>
    <w:rsid w:val="00305E9F"/>
    <w:rsid w:val="005628D9"/>
    <w:rsid w:val="0090533B"/>
    <w:rsid w:val="00CA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9F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927479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214647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211111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150653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6566886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Foldes, Gilad</dc:creator>
  <cp:keywords/>
  <dc:description/>
  <cp:lastModifiedBy>Foldes, Gilad</cp:lastModifiedBy>
  <cp:revision>2</cp:revision>
  <dcterms:created xsi:type="dcterms:W3CDTF">2013-09-27T10:03:00Z</dcterms:created>
  <dcterms:modified xsi:type="dcterms:W3CDTF">2013-09-27T10:03:00Z</dcterms:modified>
</cp:coreProperties>
</file>